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1F7A5A" w:sz="48"/>
              <w:bottom w:val="none" w:color="FFFFFF" w:sz="0"/>
              <w:right w:val="none" w:color="FFFFFF" w:sz="0"/>
            </w:tcBorders>
            <w:shd w:fill="E3F2EB" w:color="auto" w:val="clear"/>
            <w:tcMar>
              <w:top w:type="dxa" w:w="160"/>
              <w:left w:type="dxa" w:w="260"/>
              <w:bottom w:type="dxa" w:w="160"/>
              <w:right w:type="dxa" w:w="20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pacing w:val="30"/>
                <w:sz w:val="30"/>
                <w:szCs w:val="30"/>
              </w:rPr>
              <w:t xml:space="preserve">PROCURAÇÃO PARTICULAR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Instrumento particular de mandato  ·  Código Civil, artigos 653 e 654</w:t>
            </w:r>
          </w:p>
        </w:tc>
      </w:tr>
    </w:tbl>
    <w:p>
      <w:pPr>
        <w:spacing w:after="20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6"/>
                <w:szCs w:val="16"/>
              </w:rPr>
              <w:t xml:space="preserve">Como preencher: </w:t>
            </w:r>
            <w:r>
              <w:rPr>
                <w:rFonts w:ascii="Arial" w:cs="Arial" w:eastAsia="Arial" w:hAnsi="Arial"/>
                <w:color w:val="6B5600"/>
                <w:sz w:val="16"/>
                <w:szCs w:val="16"/>
              </w:rPr>
              <w:t xml:space="preserve">troque os campos em azul e descreva com precisão o que o procurador poderá fazer. Muitos órgãos e bancos exigem firma reconhecida em cartório; para venda de imóveis é necessária procuração pública, feita em cartório.</w:t>
            </w:r>
          </w:p>
        </w:tc>
      </w:tr>
    </w:tbl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OUTORGANTE (QUEM DÁ OS PODERES)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[nacionalidade]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[estado civil]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[profissão]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portador(a) do RG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[00.000.000-0]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e do CPF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residente e domiciliado(a)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OUTORGADO(A) (PROCURADOR)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[nacionalidade]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[estado civil]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[profissão]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portador(a) do RG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[00.000.000-0]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e do CPF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residente e domiciliado(a) em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[endereço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PODERES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Pelo presente instrumento particular, o(a) OUTORGANTE nomeia e constitui o(a) OUTORGADO(A) seu(sua) bastante procurador(a), com poderes específicos para: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[descreva exatamente o que o procurador pode fazer. Ex.: representar o(a) outorgante perante o DETRAN/UF para transferência do veículo marca/modelo, placa ABC-1234, RENAVAM 00000000000, podendo assinar documentos, pagar taxas e retirar o documento]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Podendo, para o fiel cumprimento deste mandato, assinar requerimentos, apresentar e retirar documentos e praticar todos os atos necessários ao fim indicado acima.</w:t>
      </w:r>
    </w:p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VALIDADE</w:t>
      </w:r>
    </w:p>
    <w:p>
      <w:pPr>
        <w:spacing w:after="140" w:before="0" w:line="312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Esta procuração é válida por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[90 dias / até 00/00/0000 / até a conclusão do ato descrito acima]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p>
      <w:pPr>
        <w:spacing w:after="500" w:before="240" w:line="312"/>
        <w:jc w:val="right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[dia]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[mês]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[ano]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 COMPLETO]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Assinatura do(a) OUTORGANTE</w:t>
            </w:r>
          </w:p>
        </w:tc>
      </w:tr>
    </w:tbl>
    <w:p>
      <w:pPr>
        <w:spacing w:after="200" w:before="0" w:line="312"/>
        <w:jc w:val="both"/>
      </w:pPr>
    </w:p>
    <w:p>
      <w:pPr>
        <w:spacing w:after="140" w:before="0" w:line="312"/>
        <w:jc w:val="center"/>
      </w:pPr>
      <w:r>
        <w:rPr>
          <w:rFonts w:ascii="Arial" w:cs="Arial" w:eastAsia="Arial" w:hAnsi="Arial"/>
          <w:i/>
          <w:iCs/>
          <w:color w:val="AAAAAA"/>
          <w:sz w:val="15"/>
          <w:szCs w:val="15"/>
        </w:rPr>
        <w:t xml:space="preserve">Espaço reservado para reconhecimento de firma, se exigido.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2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Modelo genérico: revise com um advogado antes de assinar  ·  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2026-10-18T04:49:13.689Z</dcterms:created>
  <dcterms:modified xsi:type="dcterms:W3CDTF">2026-10-18T04:49:13.689Z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